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314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794"/>
        <w:gridCol w:w="6520"/>
        <w:tblGridChange w:id="0">
          <w:tblGrid>
            <w:gridCol w:w="3794"/>
            <w:gridCol w:w="6520"/>
          </w:tblGrid>
        </w:tblGridChange>
      </w:tblGrid>
      <w:tr>
        <w:trPr>
          <w:cantSplit w:val="0"/>
          <w:tblHeader w:val="0"/>
        </w:trPr>
        <w:tc>
          <w:tcPr>
            <w:gridSpan w:val="2"/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6"/>
                <w:szCs w:val="3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36"/>
                <w:szCs w:val="36"/>
                <w:u w:val="none"/>
                <w:shd w:fill="auto" w:val="clear"/>
                <w:vertAlign w:val="baseline"/>
                <w:rtl w:val="0"/>
              </w:rPr>
              <w:t xml:space="preserve">I controlli antimafia introdotti dal D.Lgs n. 159/2011 e successive modifiche e correzioni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Art. 85 del D.Lgs 159/2011 *(vedi nota  a margine sugli ulteriori controlli)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Impresa individuale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Titolare dell’impresa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direttore tecnico (se previsto)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familiari conviventi dei soggetti di cui ai punti 1 e 2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Associazioni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42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Legali rappresentanti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42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membri del collegio dei revisori dei conti o sindacale (se previsti)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42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familiari conviventi dei soggetti di cui al punto 1 e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Società di capitali o cooperative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Legale rappresentante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-108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Amministratori (presidente del CdA/amministratore   delegato, consiglieri)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direttore tecnico (se previsto)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membri del collegio sindacale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socio di maggioranza (nelle società con un numero di soci pari o inferiore a 4)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socio ( in caso di società unipersonale)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175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membri del collegio sindacale o, nei casi  contemplati dall’ art. 2477 del codice civile, al sindaco, nonché ai soggetti che svolgono i compiti di vigilanza di cui all’art. 6, comma 1, lettera b) del D.Lgs 231/2001;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familiari conviventi dei soggetti di cui ai punti 1-2-3-4-5-6-7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Società semplice e in nome collettivo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tutti i soci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direttore tecnico (se previsto)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membri del collegio sindacale (se previsti)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familiari  conviventi dei soggetti di cui ai punti 1,2 e 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Società in accomandita semplice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soci accomandatari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direttore tecnico (se previsto)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membri del collegio sindacale (se previsti)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familiari  conviventi dei soggetti di cui ai punti 1,2 e 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98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Società estere con sede secondaria  in Italia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coloro che le rappresentano stabilmente in Italia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direttore tecnico (se previsto)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membri del collegio sindacale (se previsti)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familiari  conviventi dei soggetti di cui ai punti 1, 2  e 3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98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Società estere  prive di sede secondaria  con rappresentanza stabile in Italia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Coloro che esercitano poteri di amministrazione (presidente del CdA/amministratore   delegato, consiglieri) rappresentanza o direzione dell’ impresa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familiari  conviventi dei soggetti di cui al punto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98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Società personali (oltre a quanto espressamente previsto per le società in nome collettivo e accomandita semplice)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Soci persone fisiche delle società personali o di capitali che sono socie della società personale esaminata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Direttore tecnico (se previsto)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membri del collegio sindacale (se previsti)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familiari conviventi dei soggetti di cui ai punti 1,2 e 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98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Società di capitali anche consortili, per le società cooperative di consorzi cooperativi, per i consorzi con attività esterna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legale rappresentante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componenti organo di amministrazione (presidente del CdA/amministratore   delegato, consiglieri)**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direttore tecnico (se previsto)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membri del collegio sindacale (se previsti)***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ciascuno dei consorziati che nei consorzi e nelle societa' consortili detenga, anche indirettamente, una partecipazione pari almeno al 5 per cento.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familiari conviventi dei soggetti di cui ai punti 1,2,3,4 e 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98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Consorzi ex art. 2602 c.c. non aventi attività esterna e per i gruppi europei di interesse economico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legale rappresentante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eventuali componenti dell’ organo di amministrazione (presidente del CdA/amministratore   delegato, consiglieri)**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direttore tecnico (se previsto)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imprenditori e società consorziate ( e relativi legale rappresentante ed eventuali componenti dell’ organo di amministrazione)**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membri del collegio sindacale (se previsti)***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familiari conviventi dei soggetti di cui ai punti 1,2,3,4 e 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98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Raggruppamenti temporanei di imprese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tutte le imprese costituenti il Raggruppamento anche se aventi sede all’ estero, nonché le persone fisiche presenti al loro interno, come individuate per ciascuna  tipologia di imprese e società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direttore tecnico (se previsto)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membri del collegio sindacale (se previsti)**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familiari conviventi dei soggetti di cui ai punti 1, 2 e 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98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Per le società di capitali anche consortili, per le società cooperative di consorzi cooperativi, per i consorzi con attività esterna e per le società di capitali con un numero di soci pari o inferiore a quattro (vedi lettera c del comma 2 art. 85)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concessionarie nel settore dei giochi pubblici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Oltre ai controlli previsti per le società di capitali anche consortili, per le società cooperative di consorzi cooperativi, per i consorzi con attività esterna e per le società di capitali con un numero di soci pari o inferiore a quattro, la documentazione antimafia deve riferirsi anche ai soci e alle persone fisiche che detengono, anche indirettamente,  una partecipazione al capitale o al patrimonio superiore al 2 per cento, nonché ai direttori generali e ai soggetti responsabili delle sedi secondarie o delle stabili organizzazioni in Italia di soggetti non residenti. Nell'ipotesi in cui i soci persone fisiche detengano la partecipazione superiore alla predetta soglia mediante altre società  di capitali, la documentazione deve riferirsi anche al legale rappresentante e agli eventuali componenti dell'organo di amministrazione della societa'socia, alle persone fisiche che, direttamente o indirettamente, controllano tale societa', nonche' ai direttori generali e ai soggetti responsabili delle sedi secondarie o delle stabili organizzazioni in Italia di soggetti non residenti. La documentazione di cui al periodo precedente deve riferirsi anche al coniuge non separato.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</w:t>
            </w:r>
          </w:p>
        </w:tc>
      </w:tr>
    </w:tbl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60"/>
        </w:tabs>
        <w:spacing w:after="200" w:before="0" w:line="276" w:lineRule="auto"/>
        <w:ind w:left="0" w:right="-143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*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Ulteriori controlli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si precisa che i controlli antimafia sono effettuati anche sui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procuratori e sui procuratori speciali (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che, sulla base dei poteri conferitigli, siano legittimati a partecipare alle procedure di affidamento di appalti pubblici di cui al D.Lgs 50/2016, a stipulare i relativi contratti in caso di aggiudicazione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per i quali sia richiesta la documentazione antimafia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e, comunque, più in generale, i procuratori che esercitano poteri che per la rilevanza sostanziale e lo spessore economico sono tali da impegnare sul piano decisionale e gestorio la società determinandone in qualsiasi modo le scelte o gli indirizzi)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nonché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nei casi contemplati dall’art. art. 2477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del c.c.,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 sindaco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nonché ai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soggetti che svolgono i compiti di vigilanza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di cui all’art. 6, comma 1 , lett. b) del D.Lgs  8 giugno 2011, n. 231.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60"/>
        </w:tabs>
        <w:spacing w:after="200" w:before="0" w:line="276" w:lineRule="auto"/>
        <w:ind w:left="0" w:right="-143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**Per componenti del consiglio di amministrazione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si intendono: presidente del C.d.A., Amministratore Delegato, Consiglieri.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60"/>
        </w:tabs>
        <w:spacing w:after="200" w:before="0" w:line="276" w:lineRule="auto"/>
        <w:ind w:left="0" w:right="-143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***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Per sindaci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si intendono sia quelli effettivi che supplenti.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60"/>
        </w:tabs>
        <w:spacing w:after="0" w:before="0" w:line="240" w:lineRule="auto"/>
        <w:ind w:left="0" w:right="-143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Concetto di “familiari conviventi”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-143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Per quanto concerne la nozione di “familiari conviventi”, si precisa che per essi si intende “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chiunque conviva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” con i soggetti da controllare ex art. 85 del D.Lgs 159/2011,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purché maggiorenne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43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43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Concetto di “socio di maggioranza”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43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43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Per socio di maggioranza si intende “la persona fisica o giuridica che detiene la maggioranza relativa delle quote o azioni della società interessata”.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43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Nel caso di più soci (es. 3 o 4) con la medesima percentuale di quote o azioni del capitale sociale della società interessata, non è richiesta alcuna documentazione relativa al socio di maggioranza.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43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La documentazione dovrà, invece, essere prodotta, tuttavia, nel caso in cui i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due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soci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(persone fisiche o giuridiche) della società interessata al rilascio della comunicazione o informazione antimafia siano ciascuno titolari di quote o azioni pari al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50%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del capitale sociale o nel caso in cui uno dei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soci sia titolare del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50%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delle quote o azioni.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43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Ciò in coerenza con l’art. 91, comma 5 del D.lgs 159/2011, la sentenza n. 4654 del 28/08/2012 del Consiglio di Stato Sez. V e la sentenza n. 24 del 06/11/2013 del Consiglio di Stato Adunanza Plenaria. 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43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43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134" w:top="1417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  <w:font w:name="Kunstler Script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413"/>
        <w:tab w:val="left" w:leader="none" w:pos="1690"/>
        <w:tab w:val="left" w:leader="none" w:pos="2654"/>
        <w:tab w:val="left" w:leader="none" w:pos="3451"/>
        <w:tab w:val="left" w:leader="none" w:pos="5515"/>
        <w:tab w:val="left" w:leader="none" w:pos="8419"/>
      </w:tabs>
      <w:spacing w:after="0" w:before="0" w:line="240" w:lineRule="auto"/>
      <w:ind w:left="-1134" w:right="-1561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"/>
        <w:szCs w:val="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                </w:t>
      <w:tab/>
      <w:tab/>
      <w:tab/>
      <w:tab/>
      <w:t xml:space="preserve">               </w:t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drawing>
        <wp:inline distB="0" distT="0" distL="114300" distR="114300">
          <wp:extent cx="645160" cy="645160"/>
          <wp:effectExtent b="0" l="0" r="0" t="0"/>
          <wp:docPr id="102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45160" cy="64516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-1134" w:right="-1561" w:firstLine="0"/>
      <w:jc w:val="center"/>
      <w:rPr>
        <w:rFonts w:ascii="Kunstler Script" w:cs="Kunstler Script" w:eastAsia="Kunstler Script" w:hAnsi="Kunstler Script"/>
        <w:b w:val="0"/>
        <w:i w:val="0"/>
        <w:smallCaps w:val="0"/>
        <w:strike w:val="0"/>
        <w:color w:val="000000"/>
        <w:sz w:val="2"/>
        <w:szCs w:val="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-1134" w:right="-1561" w:firstLine="0"/>
      <w:jc w:val="center"/>
      <w:rPr>
        <w:rFonts w:ascii="Kunstler Script" w:cs="Kunstler Script" w:eastAsia="Kunstler Script" w:hAnsi="Kunstler Script"/>
        <w:b w:val="0"/>
        <w:i w:val="0"/>
        <w:smallCaps w:val="0"/>
        <w:strike w:val="0"/>
        <w:color w:val="000000"/>
        <w:sz w:val="2"/>
        <w:szCs w:val="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-1134" w:right="-1561" w:firstLine="0"/>
      <w:jc w:val="left"/>
      <w:rPr>
        <w:rFonts w:ascii="Kunstler Script" w:cs="Kunstler Script" w:eastAsia="Kunstler Script" w:hAnsi="Kunstler Script"/>
        <w:b w:val="0"/>
        <w:i w:val="0"/>
        <w:smallCaps w:val="0"/>
        <w:strike w:val="0"/>
        <w:color w:val="000000"/>
        <w:sz w:val="76"/>
        <w:szCs w:val="76"/>
        <w:u w:val="none"/>
        <w:shd w:fill="auto" w:val="clear"/>
        <w:vertAlign w:val="baseline"/>
      </w:rPr>
    </w:pPr>
    <w:r w:rsidDel="00000000" w:rsidR="00000000" w:rsidRPr="00000000">
      <w:rPr>
        <w:rFonts w:ascii="Kunstler Script" w:cs="Kunstler Script" w:eastAsia="Kunstler Script" w:hAnsi="Kunstler Script"/>
        <w:b w:val="0"/>
        <w:i w:val="1"/>
        <w:smallCaps w:val="0"/>
        <w:strike w:val="0"/>
        <w:color w:val="000000"/>
        <w:sz w:val="76"/>
        <w:szCs w:val="76"/>
        <w:u w:val="none"/>
        <w:shd w:fill="auto" w:val="clear"/>
        <w:vertAlign w:val="baseline"/>
        <w:rtl w:val="0"/>
      </w:rPr>
      <w:t xml:space="preserve">     </w:t>
      <w:tab/>
      <w:t xml:space="preserve">         Prefettura </w:t>
    </w:r>
    <w:r w:rsidDel="00000000" w:rsidR="00000000" w:rsidRPr="00000000">
      <w:rPr>
        <w:rFonts w:ascii="Kunstler Script" w:cs="Kunstler Script" w:eastAsia="Kunstler Script" w:hAnsi="Kunstler Script"/>
        <w:b w:val="0"/>
        <w:i w:val="0"/>
        <w:smallCaps w:val="0"/>
        <w:strike w:val="0"/>
        <w:color w:val="000000"/>
        <w:sz w:val="76"/>
        <w:szCs w:val="76"/>
        <w:u w:val="none"/>
        <w:shd w:fill="auto" w:val="clear"/>
        <w:vertAlign w:val="baseline"/>
        <w:rtl w:val="0"/>
      </w:rPr>
      <w:t xml:space="preserve">di Milano</w:t>
    </w:r>
  </w:p>
  <w:p w:rsidR="00000000" w:rsidDel="00000000" w:rsidP="00000000" w:rsidRDefault="00000000" w:rsidRPr="00000000" w14:paraId="0000006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95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rFonts w:ascii="Calibri" w:cs="Calibri" w:eastAsia="Calibri" w:hAnsi="Calibri"/>
        <w:b w:val="1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1050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77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49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1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3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5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7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09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10" w:hanging="180"/>
      </w:pPr>
      <w:rPr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0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e">
    <w:name w:val="Normale"/>
    <w:next w:val="Normale"/>
    <w:autoRedefine w:val="0"/>
    <w:hidden w:val="0"/>
    <w:qFormat w:val="0"/>
    <w:pPr>
      <w:suppressAutoHyphens w:val="1"/>
      <w:spacing w:after="200"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it-IT"/>
    </w:rPr>
  </w:style>
  <w:style w:type="character" w:styleId="Car.predefinitoparagrafo">
    <w:name w:val="Car. predefinito paragrafo"/>
    <w:next w:val="Car.predefinitoparagrafo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ellanormale">
    <w:name w:val="Tabella normale"/>
    <w:next w:val="Tabellanormale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>
    <w:name w:val="Nessun elenco"/>
    <w:next w:val="Nessunelenco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table" w:styleId="Grigliatabella">
    <w:name w:val="Griglia tabella"/>
    <w:basedOn w:val="Tabellanormale"/>
    <w:next w:val="Grigliatabell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0"/>
      <w:szCs w:val="20"/>
      <w:effect w:val="none"/>
      <w:vertAlign w:val="baseline"/>
      <w:cs w:val="0"/>
      <w:em w:val="none"/>
      <w:lang/>
    </w:rPr>
    <w:tblPr>
      <w:tblStyle w:val="Grigliatabella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Intestazione">
    <w:name w:val="Intestazione"/>
    <w:basedOn w:val="Normale"/>
    <w:next w:val="Intestazione"/>
    <w:autoRedefine w:val="0"/>
    <w:hidden w:val="0"/>
    <w:qFormat w:val="0"/>
    <w:pPr>
      <w:suppressAutoHyphens w:val="1"/>
      <w:spacing w:after="0" w:line="240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it-IT"/>
    </w:rPr>
  </w:style>
  <w:style w:type="character" w:styleId="IntestazioneCarattere">
    <w:name w:val="Intestazione Carattere"/>
    <w:next w:val="IntestazioneCaratter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Pièdipagina">
    <w:name w:val="Piè di pagina"/>
    <w:basedOn w:val="Normale"/>
    <w:next w:val="Pièdipagina"/>
    <w:autoRedefine w:val="0"/>
    <w:hidden w:val="0"/>
    <w:qFormat w:val="0"/>
    <w:pPr>
      <w:suppressAutoHyphens w:val="1"/>
      <w:spacing w:after="0" w:line="240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it-IT"/>
    </w:rPr>
  </w:style>
  <w:style w:type="character" w:styleId="PièdipaginaCarattere">
    <w:name w:val="Piè di pagina Carattere"/>
    <w:next w:val="PièdipaginaCaratter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Paragrafoelenco">
    <w:name w:val="Paragrafo elenco"/>
    <w:basedOn w:val="Normale"/>
    <w:next w:val="Paragrafoelenco"/>
    <w:autoRedefine w:val="0"/>
    <w:hidden w:val="0"/>
    <w:qFormat w:val="0"/>
    <w:pPr>
      <w:suppressAutoHyphens w:val="1"/>
      <w:spacing w:after="200" w:line="276" w:lineRule="auto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it-IT"/>
    </w:rPr>
  </w:style>
  <w:style w:type="paragraph" w:styleId="Testofumetto">
    <w:name w:val="Testo fumetto"/>
    <w:basedOn w:val="Normale"/>
    <w:next w:val="Testofumetto"/>
    <w:autoRedefine w:val="0"/>
    <w:hidden w:val="0"/>
    <w:qFormat w:val="0"/>
    <w:pPr>
      <w:suppressAutoHyphens w:val="1"/>
      <w:spacing w:after="0" w:line="240" w:lineRule="auto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en-US" w:val="it-IT"/>
    </w:rPr>
  </w:style>
  <w:style w:type="character" w:styleId="TestofumettoCarattere">
    <w:name w:val="Testo fumetto Carattere"/>
    <w:next w:val="TestofumettoCarattere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wEGjqniwTd1c2lvqm5haxpW2HA==">CgMxLjA4AHIhMTQzTDlZeFFEbFBpeXdmTkRrR3BLRlkzX0xrVmJ3UE1E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2020-10-22T14:39:00Z</dcterms:created>
  <dc:creator>Emilio Festa</dc:creator>
</cp:coreProperties>
</file>